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102EA" w14:textId="77777777" w:rsidR="005C6D0A" w:rsidRDefault="005C6D0A" w:rsidP="005C6D0A">
      <w:pPr>
        <w:tabs>
          <w:tab w:val="right" w:pos="8789"/>
        </w:tabs>
        <w:spacing w:after="0" w:line="280" w:lineRule="atLeast"/>
        <w:jc w:val="center"/>
        <w:rPr>
          <w:rFonts w:ascii="Verdana" w:hAnsi="Verdana"/>
          <w:b/>
          <w:bCs/>
        </w:rPr>
      </w:pPr>
      <w:r w:rsidRPr="00B81784">
        <w:rPr>
          <w:rFonts w:ascii="Verdana" w:hAnsi="Verdana"/>
          <w:b/>
          <w:bCs/>
        </w:rPr>
        <w:t>ZAWIADOMIENIE O ZWOŁANIU ZWYCZAJNEGO WALNEGO ZGROMADZENIA AKCJONARIUSZY SPÓŁKI</w:t>
      </w:r>
    </w:p>
    <w:p w14:paraId="19B9B542" w14:textId="77777777" w:rsidR="005C6D0A" w:rsidRPr="00B81784" w:rsidRDefault="005C6D0A" w:rsidP="005C6D0A">
      <w:pPr>
        <w:tabs>
          <w:tab w:val="right" w:pos="8789"/>
        </w:tabs>
        <w:spacing w:after="0" w:line="280" w:lineRule="atLeast"/>
        <w:jc w:val="center"/>
        <w:rPr>
          <w:rFonts w:ascii="Verdana" w:hAnsi="Verdana"/>
          <w:b/>
          <w:bCs/>
        </w:rPr>
      </w:pPr>
      <w:r w:rsidRPr="00B81784">
        <w:rPr>
          <w:rFonts w:ascii="Verdana" w:hAnsi="Verdana"/>
          <w:b/>
          <w:bCs/>
        </w:rPr>
        <w:t>FABRYKA MASZYN „BUMAR-KOSZALIN” SPÓŁKA AKCYJNA</w:t>
      </w:r>
    </w:p>
    <w:p w14:paraId="046B6E56" w14:textId="5FCA715E" w:rsidR="005C6D0A" w:rsidRPr="005C6D0A" w:rsidRDefault="005C6D0A" w:rsidP="005C6D0A">
      <w:pPr>
        <w:spacing w:before="240" w:after="0" w:line="260" w:lineRule="atLeast"/>
        <w:jc w:val="both"/>
        <w:rPr>
          <w:rFonts w:ascii="Verdana" w:hAnsi="Verdana"/>
          <w:sz w:val="20"/>
          <w:szCs w:val="20"/>
        </w:rPr>
      </w:pPr>
      <w:r w:rsidRPr="005C6D0A">
        <w:rPr>
          <w:rFonts w:ascii="Verdana" w:hAnsi="Verdana"/>
          <w:sz w:val="20"/>
          <w:szCs w:val="20"/>
        </w:rPr>
        <w:t>Zarząd Spółki Fabryka Maszyn „BUMAR-KOSZALIN” Spółka Akcyjna z siedzibą w Koszalinie,</w:t>
      </w:r>
      <w:r>
        <w:rPr>
          <w:rFonts w:ascii="Verdana" w:hAnsi="Verdana"/>
          <w:sz w:val="20"/>
          <w:szCs w:val="20"/>
        </w:rPr>
        <w:br/>
      </w:r>
      <w:r w:rsidRPr="005C6D0A">
        <w:rPr>
          <w:rFonts w:ascii="Verdana" w:hAnsi="Verdana"/>
          <w:sz w:val="20"/>
          <w:szCs w:val="20"/>
        </w:rPr>
        <w:t xml:space="preserve"> ul. Lechicka 51, 75-842 Koszalin, wpisanej do rejestru przedsiębiorców, prowadzonego przez Sąd Rejonowy w Koszalinie, IX Wydział Gospodarczy Krajowego Rejestru Sądowego, pod numerem KRS 0000054448 (dalej jako „</w:t>
      </w:r>
      <w:r w:rsidRPr="005C6D0A">
        <w:rPr>
          <w:rFonts w:ascii="Verdana" w:hAnsi="Verdana"/>
          <w:b/>
          <w:bCs/>
          <w:sz w:val="20"/>
          <w:szCs w:val="20"/>
        </w:rPr>
        <w:t>Spółka</w:t>
      </w:r>
      <w:r w:rsidRPr="005C6D0A">
        <w:rPr>
          <w:rFonts w:ascii="Verdana" w:hAnsi="Verdana"/>
          <w:sz w:val="20"/>
          <w:szCs w:val="20"/>
        </w:rPr>
        <w:t xml:space="preserve">”), działając na podstawie art. 399 </w:t>
      </w:r>
      <w:r>
        <w:rPr>
          <w:rFonts w:ascii="Verdana" w:hAnsi="Verdana"/>
          <w:sz w:val="20"/>
          <w:szCs w:val="20"/>
        </w:rPr>
        <w:br/>
      </w:r>
      <w:r w:rsidRPr="005C6D0A">
        <w:rPr>
          <w:rFonts w:ascii="Verdana" w:hAnsi="Verdana"/>
          <w:sz w:val="20"/>
          <w:szCs w:val="20"/>
        </w:rPr>
        <w:t>i następnych ustawy z dnia 15 września 2000 roku Kodeks spółek handlowych (tj. Dz.U.2024.18, ze zm.) (dalej jako „</w:t>
      </w:r>
      <w:r w:rsidRPr="005C6D0A">
        <w:rPr>
          <w:rFonts w:ascii="Verdana" w:hAnsi="Verdana"/>
          <w:b/>
          <w:bCs/>
          <w:sz w:val="20"/>
          <w:szCs w:val="20"/>
        </w:rPr>
        <w:t>Kodeks spółek handlowych”</w:t>
      </w:r>
      <w:r w:rsidRPr="005C6D0A">
        <w:rPr>
          <w:rFonts w:ascii="Verdana" w:hAnsi="Verdana"/>
          <w:sz w:val="20"/>
          <w:szCs w:val="20"/>
        </w:rPr>
        <w:t>), oraz §46 ust. 1 pkt. 1, §47</w:t>
      </w:r>
      <w:r w:rsidRPr="005C6D0A">
        <w:rPr>
          <w:rFonts w:ascii="Verdana" w:hAnsi="Verdana"/>
          <w:sz w:val="20"/>
          <w:szCs w:val="20"/>
          <w:lang w:bidi="pl-PL"/>
        </w:rPr>
        <w:t xml:space="preserve"> </w:t>
      </w:r>
      <w:r w:rsidRPr="005C6D0A">
        <w:rPr>
          <w:rFonts w:ascii="Verdana" w:hAnsi="Verdana"/>
          <w:sz w:val="20"/>
          <w:szCs w:val="20"/>
        </w:rPr>
        <w:t>Statutu Spółki:</w:t>
      </w:r>
    </w:p>
    <w:p w14:paraId="2874860D" w14:textId="77777777" w:rsidR="005C6D0A" w:rsidRPr="005C6D0A" w:rsidRDefault="005C6D0A" w:rsidP="005C6D0A">
      <w:pPr>
        <w:spacing w:before="180" w:after="180" w:line="260" w:lineRule="atLeast"/>
        <w:jc w:val="center"/>
        <w:rPr>
          <w:rFonts w:ascii="Verdana" w:hAnsi="Verdana"/>
          <w:b/>
          <w:bCs/>
          <w:sz w:val="20"/>
          <w:szCs w:val="20"/>
        </w:rPr>
      </w:pPr>
      <w:r w:rsidRPr="005C6D0A">
        <w:rPr>
          <w:rFonts w:ascii="Verdana" w:hAnsi="Verdana"/>
          <w:b/>
          <w:bCs/>
          <w:sz w:val="20"/>
          <w:szCs w:val="20"/>
        </w:rPr>
        <w:t>zwołuje Zwyczajne Walne Zgromadzenie Akcjonariuszy Spółki</w:t>
      </w:r>
    </w:p>
    <w:p w14:paraId="19476C07" w14:textId="77777777" w:rsidR="005C6D0A" w:rsidRPr="005C6D0A" w:rsidRDefault="005C6D0A" w:rsidP="005C6D0A">
      <w:pPr>
        <w:spacing w:before="80" w:after="0" w:line="260" w:lineRule="atLeast"/>
        <w:jc w:val="both"/>
        <w:rPr>
          <w:rFonts w:ascii="Verdana" w:hAnsi="Verdana"/>
          <w:sz w:val="20"/>
          <w:szCs w:val="20"/>
        </w:rPr>
      </w:pPr>
      <w:r w:rsidRPr="005C6D0A">
        <w:rPr>
          <w:rFonts w:ascii="Verdana" w:hAnsi="Verdana"/>
          <w:b/>
          <w:bCs/>
          <w:sz w:val="20"/>
          <w:szCs w:val="20"/>
        </w:rPr>
        <w:t xml:space="preserve">które odbędzie się w dniu 30 czerwca 2026 roku o godzinie 9:00, </w:t>
      </w:r>
      <w:r w:rsidRPr="005C6D0A">
        <w:rPr>
          <w:rFonts w:ascii="Verdana" w:hAnsi="Verdana"/>
          <w:b/>
          <w:sz w:val="20"/>
          <w:szCs w:val="20"/>
        </w:rPr>
        <w:t>w siedzibie akcjonariusza większościowego, tj. w siedzibie Spółki „WISS Samochody Specjalne Spółka z ograniczoną odpowiedzialnością” przy ul. Leszczyńskiej 22, 43-300 Bielsko-Biała</w:t>
      </w:r>
      <w:r w:rsidRPr="005C6D0A">
        <w:rPr>
          <w:rFonts w:ascii="Verdana" w:hAnsi="Verdana"/>
          <w:sz w:val="20"/>
          <w:szCs w:val="20"/>
        </w:rPr>
        <w:t xml:space="preserve"> z następującym porządkiem obrad:</w:t>
      </w:r>
    </w:p>
    <w:p w14:paraId="64081112" w14:textId="77777777" w:rsidR="005C6D0A" w:rsidRPr="005C6D0A" w:rsidRDefault="005C6D0A" w:rsidP="005C6D0A">
      <w:pPr>
        <w:numPr>
          <w:ilvl w:val="0"/>
          <w:numId w:val="1"/>
        </w:numPr>
        <w:tabs>
          <w:tab w:val="left" w:pos="567"/>
          <w:tab w:val="right" w:leader="hyphen" w:pos="9639"/>
        </w:tabs>
        <w:suppressAutoHyphens w:val="0"/>
        <w:spacing w:before="80" w:after="0" w:line="260" w:lineRule="atLeast"/>
        <w:ind w:left="567" w:hanging="567"/>
        <w:jc w:val="both"/>
        <w:rPr>
          <w:rFonts w:ascii="Verdana" w:hAnsi="Verdana"/>
          <w:sz w:val="20"/>
          <w:szCs w:val="20"/>
        </w:rPr>
      </w:pPr>
      <w:r w:rsidRPr="005C6D0A">
        <w:rPr>
          <w:rFonts w:ascii="Verdana" w:hAnsi="Verdana"/>
          <w:sz w:val="20"/>
          <w:szCs w:val="20"/>
        </w:rPr>
        <w:t>Otwarcie obrad i wybór Przewodniczącego Zwyczajnego Walnego Zgromadzenia;</w:t>
      </w:r>
    </w:p>
    <w:p w14:paraId="2483D926" w14:textId="77777777" w:rsidR="005C6D0A" w:rsidRPr="005C6D0A" w:rsidRDefault="005C6D0A" w:rsidP="005C6D0A">
      <w:pPr>
        <w:numPr>
          <w:ilvl w:val="0"/>
          <w:numId w:val="1"/>
        </w:numPr>
        <w:tabs>
          <w:tab w:val="left" w:pos="567"/>
          <w:tab w:val="right" w:leader="hyphen" w:pos="9639"/>
        </w:tabs>
        <w:suppressAutoHyphens w:val="0"/>
        <w:spacing w:before="80" w:after="0" w:line="260" w:lineRule="atLeast"/>
        <w:ind w:left="567" w:hanging="567"/>
        <w:jc w:val="both"/>
        <w:rPr>
          <w:rFonts w:ascii="Verdana" w:hAnsi="Verdana"/>
          <w:sz w:val="20"/>
          <w:szCs w:val="20"/>
        </w:rPr>
      </w:pPr>
      <w:r w:rsidRPr="005C6D0A">
        <w:rPr>
          <w:rFonts w:ascii="Verdana" w:hAnsi="Verdana"/>
          <w:sz w:val="20"/>
          <w:szCs w:val="20"/>
        </w:rPr>
        <w:t>Stwierdzenie prawidłowości i ważności zwołania Zwyczajnego Walnego Zgromadzenia oraz jego zdolności do podejmowania uchwał;</w:t>
      </w:r>
    </w:p>
    <w:p w14:paraId="712E5913" w14:textId="77777777" w:rsidR="005C6D0A" w:rsidRPr="005C6D0A" w:rsidRDefault="005C6D0A" w:rsidP="005C6D0A">
      <w:pPr>
        <w:numPr>
          <w:ilvl w:val="0"/>
          <w:numId w:val="1"/>
        </w:numPr>
        <w:tabs>
          <w:tab w:val="left" w:pos="567"/>
          <w:tab w:val="right" w:leader="hyphen" w:pos="9639"/>
        </w:tabs>
        <w:suppressAutoHyphens w:val="0"/>
        <w:spacing w:before="80" w:after="0" w:line="260" w:lineRule="atLeast"/>
        <w:ind w:left="567" w:hanging="567"/>
        <w:jc w:val="both"/>
        <w:rPr>
          <w:rFonts w:ascii="Verdana" w:hAnsi="Verdana"/>
          <w:sz w:val="20"/>
          <w:szCs w:val="20"/>
        </w:rPr>
      </w:pPr>
      <w:r w:rsidRPr="005C6D0A">
        <w:rPr>
          <w:rFonts w:ascii="Verdana" w:hAnsi="Verdana"/>
          <w:sz w:val="20"/>
          <w:szCs w:val="20"/>
        </w:rPr>
        <w:t>Przyjęcie porządku obrad;</w:t>
      </w:r>
    </w:p>
    <w:p w14:paraId="1A1C18AE" w14:textId="77777777" w:rsidR="005C6D0A" w:rsidRPr="005C6D0A" w:rsidRDefault="005C6D0A" w:rsidP="005C6D0A">
      <w:pPr>
        <w:numPr>
          <w:ilvl w:val="0"/>
          <w:numId w:val="1"/>
        </w:numPr>
        <w:tabs>
          <w:tab w:val="left" w:pos="567"/>
          <w:tab w:val="right" w:leader="hyphen" w:pos="9639"/>
        </w:tabs>
        <w:suppressAutoHyphens w:val="0"/>
        <w:spacing w:before="80" w:after="0" w:line="260" w:lineRule="atLeast"/>
        <w:ind w:left="567" w:hanging="567"/>
        <w:jc w:val="both"/>
        <w:rPr>
          <w:rFonts w:ascii="Verdana" w:hAnsi="Verdana"/>
          <w:sz w:val="20"/>
          <w:szCs w:val="20"/>
        </w:rPr>
      </w:pPr>
      <w:r w:rsidRPr="005C6D0A">
        <w:rPr>
          <w:rFonts w:ascii="Verdana" w:hAnsi="Verdana"/>
          <w:sz w:val="20"/>
          <w:szCs w:val="20"/>
        </w:rPr>
        <w:t>Rozpatrzenie i zatwierdzenie sprawozdania finansowego Spółki za rok obrotowy 2025, trwający od 1 stycznia 2025 roku do 31 grudnia 2025 roku i podjęcie uchwały w tym przedmiocie;</w:t>
      </w:r>
    </w:p>
    <w:p w14:paraId="42EB788B" w14:textId="500E7142" w:rsidR="005C6D0A" w:rsidRPr="005C6D0A" w:rsidRDefault="005C6D0A" w:rsidP="005C6D0A">
      <w:pPr>
        <w:numPr>
          <w:ilvl w:val="0"/>
          <w:numId w:val="1"/>
        </w:numPr>
        <w:tabs>
          <w:tab w:val="left" w:pos="567"/>
          <w:tab w:val="right" w:leader="hyphen" w:pos="9639"/>
        </w:tabs>
        <w:suppressAutoHyphens w:val="0"/>
        <w:spacing w:before="80" w:after="0" w:line="260" w:lineRule="atLeast"/>
        <w:ind w:left="567" w:hanging="567"/>
        <w:jc w:val="both"/>
        <w:rPr>
          <w:rFonts w:ascii="Verdana" w:hAnsi="Verdana"/>
          <w:sz w:val="20"/>
          <w:szCs w:val="20"/>
        </w:rPr>
      </w:pPr>
      <w:r w:rsidRPr="005C6D0A">
        <w:rPr>
          <w:rFonts w:ascii="Verdana" w:hAnsi="Verdana"/>
          <w:sz w:val="20"/>
          <w:szCs w:val="20"/>
        </w:rPr>
        <w:t xml:space="preserve">Rozpatrzenie i zatwierdzenie sprawozdania Zarządu z działalności Spółki za rok obrotowy 2025, trwający od 1 stycznia 2025 roku do 31 grudnia 2025 roku i podjęcie uchwały </w:t>
      </w:r>
      <w:r>
        <w:rPr>
          <w:rFonts w:ascii="Verdana" w:hAnsi="Verdana"/>
          <w:sz w:val="20"/>
          <w:szCs w:val="20"/>
        </w:rPr>
        <w:br/>
      </w:r>
      <w:r w:rsidRPr="005C6D0A">
        <w:rPr>
          <w:rFonts w:ascii="Verdana" w:hAnsi="Verdana"/>
          <w:sz w:val="20"/>
          <w:szCs w:val="20"/>
        </w:rPr>
        <w:t>w tym przedmiocie;</w:t>
      </w:r>
    </w:p>
    <w:p w14:paraId="5E7C4236" w14:textId="0AD31FC0" w:rsidR="005C6D0A" w:rsidRPr="005C6D0A" w:rsidRDefault="005C6D0A" w:rsidP="005C6D0A">
      <w:pPr>
        <w:numPr>
          <w:ilvl w:val="0"/>
          <w:numId w:val="2"/>
        </w:numPr>
        <w:shd w:val="clear" w:color="auto" w:fill="FFFFFF"/>
        <w:suppressAutoHyphens w:val="0"/>
        <w:spacing w:before="80" w:after="0" w:line="260" w:lineRule="atLeast"/>
        <w:ind w:left="567" w:right="142" w:hanging="567"/>
        <w:jc w:val="both"/>
        <w:rPr>
          <w:rFonts w:ascii="Verdana" w:eastAsia="Times New Roman" w:hAnsi="Verdana" w:cs="Open Sans"/>
          <w:sz w:val="20"/>
          <w:szCs w:val="20"/>
          <w:lang w:eastAsia="pl-PL"/>
        </w:rPr>
      </w:pPr>
      <w:r w:rsidRPr="005C6D0A">
        <w:rPr>
          <w:rFonts w:ascii="Verdana" w:eastAsia="Times New Roman" w:hAnsi="Verdana" w:cs="Open Sans"/>
          <w:sz w:val="20"/>
          <w:szCs w:val="20"/>
          <w:lang w:eastAsia="pl-PL"/>
        </w:rPr>
        <w:t xml:space="preserve">Podjęcie uchwały o pokryciu straty netto za rok obrotowy 2025, trwający </w:t>
      </w:r>
      <w:r>
        <w:rPr>
          <w:rFonts w:ascii="Verdana" w:eastAsia="Times New Roman" w:hAnsi="Verdana" w:cs="Open Sans"/>
          <w:sz w:val="20"/>
          <w:szCs w:val="20"/>
          <w:lang w:eastAsia="pl-PL"/>
        </w:rPr>
        <w:br/>
      </w:r>
      <w:r w:rsidRPr="005C6D0A">
        <w:rPr>
          <w:rFonts w:ascii="Verdana" w:eastAsia="Times New Roman" w:hAnsi="Verdana" w:cs="Open Sans"/>
          <w:sz w:val="20"/>
          <w:szCs w:val="20"/>
          <w:lang w:eastAsia="pl-PL"/>
        </w:rPr>
        <w:t>od 1 stycznia 2025 roku do 31 grudnia 2025 roku;</w:t>
      </w:r>
    </w:p>
    <w:p w14:paraId="60050A06" w14:textId="78D7D353" w:rsidR="005C6D0A" w:rsidRPr="005C6D0A" w:rsidRDefault="005C6D0A" w:rsidP="005C6D0A">
      <w:pPr>
        <w:numPr>
          <w:ilvl w:val="0"/>
          <w:numId w:val="2"/>
        </w:numPr>
        <w:shd w:val="clear" w:color="auto" w:fill="FFFFFF"/>
        <w:suppressAutoHyphens w:val="0"/>
        <w:spacing w:before="80" w:after="0" w:line="260" w:lineRule="atLeast"/>
        <w:ind w:left="567" w:hanging="567"/>
        <w:jc w:val="both"/>
        <w:rPr>
          <w:rFonts w:ascii="Verdana" w:eastAsia="Times New Roman" w:hAnsi="Verdana" w:cs="Open Sans"/>
          <w:sz w:val="20"/>
          <w:szCs w:val="20"/>
          <w:lang w:eastAsia="pl-PL"/>
        </w:rPr>
      </w:pPr>
      <w:r w:rsidRPr="005C6D0A">
        <w:rPr>
          <w:rFonts w:ascii="Verdana" w:eastAsia="Times New Roman" w:hAnsi="Verdana" w:cs="Open Sans"/>
          <w:sz w:val="20"/>
          <w:szCs w:val="20"/>
          <w:lang w:eastAsia="pl-PL"/>
        </w:rPr>
        <w:t xml:space="preserve">Podjęcie uchwał w sprawie udzielenia absolutorium członkom Zarządu Spółki </w:t>
      </w:r>
      <w:r>
        <w:rPr>
          <w:rFonts w:ascii="Verdana" w:eastAsia="Times New Roman" w:hAnsi="Verdana" w:cs="Open Sans"/>
          <w:sz w:val="20"/>
          <w:szCs w:val="20"/>
          <w:lang w:eastAsia="pl-PL"/>
        </w:rPr>
        <w:br/>
      </w:r>
      <w:r w:rsidRPr="005C6D0A">
        <w:rPr>
          <w:rFonts w:ascii="Verdana" w:eastAsia="Times New Roman" w:hAnsi="Verdana" w:cs="Open Sans"/>
          <w:sz w:val="20"/>
          <w:szCs w:val="20"/>
          <w:lang w:eastAsia="pl-PL"/>
        </w:rPr>
        <w:t xml:space="preserve">z wykonywania przez nich obowiązków w roku obrotowym 2025, trwającym </w:t>
      </w:r>
      <w:r w:rsidRPr="005C6D0A">
        <w:rPr>
          <w:rFonts w:ascii="Verdana" w:eastAsia="Times New Roman" w:hAnsi="Verdana" w:cs="Open Sans"/>
          <w:sz w:val="20"/>
          <w:szCs w:val="20"/>
          <w:lang w:eastAsia="pl-PL"/>
        </w:rPr>
        <w:br/>
        <w:t>od 1 stycznia 2025 roku do 31 grudnia 2025 roku;</w:t>
      </w:r>
    </w:p>
    <w:p w14:paraId="3C5E8469" w14:textId="208645F3" w:rsidR="005C6D0A" w:rsidRPr="005C6D0A" w:rsidRDefault="005C6D0A" w:rsidP="005C6D0A">
      <w:pPr>
        <w:numPr>
          <w:ilvl w:val="0"/>
          <w:numId w:val="2"/>
        </w:numPr>
        <w:shd w:val="clear" w:color="auto" w:fill="FFFFFF"/>
        <w:suppressAutoHyphens w:val="0"/>
        <w:spacing w:before="80" w:after="0" w:line="260" w:lineRule="atLeast"/>
        <w:ind w:left="567" w:hanging="567"/>
        <w:jc w:val="both"/>
        <w:rPr>
          <w:rFonts w:ascii="Verdana" w:eastAsia="Times New Roman" w:hAnsi="Verdana" w:cs="Open Sans"/>
          <w:sz w:val="20"/>
          <w:szCs w:val="20"/>
          <w:lang w:eastAsia="pl-PL"/>
        </w:rPr>
      </w:pPr>
      <w:r w:rsidRPr="005C6D0A">
        <w:rPr>
          <w:rFonts w:ascii="Verdana" w:eastAsia="Times New Roman" w:hAnsi="Verdana" w:cs="Open Sans"/>
          <w:sz w:val="20"/>
          <w:szCs w:val="20"/>
          <w:lang w:eastAsia="pl-PL"/>
        </w:rPr>
        <w:t>Rozpatrzenie i zatwierdzenie sprawozdania Rady Nadzorczej Spółki z działalności w roku obrotowym 2025, trwającym od 1 stycznia 2025 roku do 31 grudnia 2025 roku;</w:t>
      </w:r>
    </w:p>
    <w:p w14:paraId="110A9022" w14:textId="052B946B" w:rsidR="005C6D0A" w:rsidRPr="005C6D0A" w:rsidRDefault="005C6D0A" w:rsidP="005C6D0A">
      <w:pPr>
        <w:numPr>
          <w:ilvl w:val="0"/>
          <w:numId w:val="1"/>
        </w:numPr>
        <w:shd w:val="clear" w:color="auto" w:fill="FFFFFF"/>
        <w:tabs>
          <w:tab w:val="left" w:pos="567"/>
          <w:tab w:val="right" w:leader="hyphen" w:pos="9639"/>
        </w:tabs>
        <w:suppressAutoHyphens w:val="0"/>
        <w:spacing w:before="80" w:after="0" w:line="260" w:lineRule="atLeast"/>
        <w:ind w:left="567" w:hanging="567"/>
        <w:jc w:val="both"/>
        <w:rPr>
          <w:rFonts w:ascii="Verdana" w:eastAsia="Times New Roman" w:hAnsi="Verdana" w:cs="Open Sans"/>
          <w:sz w:val="20"/>
          <w:szCs w:val="20"/>
          <w:lang w:eastAsia="pl-PL"/>
        </w:rPr>
      </w:pPr>
      <w:r w:rsidRPr="005C6D0A">
        <w:rPr>
          <w:rFonts w:ascii="Verdana" w:eastAsia="Times New Roman" w:hAnsi="Verdana" w:cs="Open Sans"/>
          <w:sz w:val="20"/>
          <w:szCs w:val="20"/>
          <w:lang w:eastAsia="pl-PL"/>
        </w:rPr>
        <w:t xml:space="preserve">Podjęcie uchwał w sprawie udzielenia absolutorium Członkom Rady Nadzorczej </w:t>
      </w:r>
      <w:r>
        <w:rPr>
          <w:rFonts w:ascii="Verdana" w:eastAsia="Times New Roman" w:hAnsi="Verdana" w:cs="Open Sans"/>
          <w:sz w:val="20"/>
          <w:szCs w:val="20"/>
          <w:lang w:eastAsia="pl-PL"/>
        </w:rPr>
        <w:br/>
      </w:r>
      <w:r w:rsidRPr="005C6D0A">
        <w:rPr>
          <w:rFonts w:ascii="Verdana" w:eastAsia="Times New Roman" w:hAnsi="Verdana" w:cs="Open Sans"/>
          <w:sz w:val="20"/>
          <w:szCs w:val="20"/>
          <w:lang w:eastAsia="pl-PL"/>
        </w:rPr>
        <w:t xml:space="preserve">z wykonywania przez nich obowiązków w roku obrotowym 2025, trwającym </w:t>
      </w:r>
      <w:r>
        <w:rPr>
          <w:rFonts w:ascii="Verdana" w:eastAsia="Times New Roman" w:hAnsi="Verdana" w:cs="Open Sans"/>
          <w:sz w:val="20"/>
          <w:szCs w:val="20"/>
          <w:lang w:eastAsia="pl-PL"/>
        </w:rPr>
        <w:br/>
      </w:r>
      <w:r w:rsidRPr="005C6D0A">
        <w:rPr>
          <w:rFonts w:ascii="Verdana" w:eastAsia="Times New Roman" w:hAnsi="Verdana" w:cs="Open Sans"/>
          <w:sz w:val="20"/>
          <w:szCs w:val="20"/>
          <w:lang w:eastAsia="pl-PL"/>
        </w:rPr>
        <w:t>od 1 stycznia 2025 roku do 31 grudnia 2025 roku;</w:t>
      </w:r>
    </w:p>
    <w:p w14:paraId="5D480F9D" w14:textId="77777777" w:rsidR="005C6D0A" w:rsidRPr="005C6D0A" w:rsidRDefault="005C6D0A" w:rsidP="005C6D0A">
      <w:pPr>
        <w:numPr>
          <w:ilvl w:val="0"/>
          <w:numId w:val="1"/>
        </w:numPr>
        <w:shd w:val="clear" w:color="auto" w:fill="FFFFFF"/>
        <w:tabs>
          <w:tab w:val="left" w:pos="567"/>
          <w:tab w:val="right" w:leader="hyphen" w:pos="9639"/>
        </w:tabs>
        <w:suppressAutoHyphens w:val="0"/>
        <w:spacing w:before="80" w:after="0" w:line="260" w:lineRule="atLeast"/>
        <w:ind w:left="567" w:hanging="567"/>
        <w:jc w:val="both"/>
        <w:rPr>
          <w:rFonts w:ascii="Verdana" w:eastAsia="Times New Roman" w:hAnsi="Verdana" w:cs="Open Sans"/>
          <w:sz w:val="20"/>
          <w:szCs w:val="20"/>
          <w:lang w:eastAsia="pl-PL"/>
        </w:rPr>
      </w:pPr>
      <w:r w:rsidRPr="005C6D0A">
        <w:rPr>
          <w:rFonts w:ascii="Verdana" w:eastAsia="Times New Roman" w:hAnsi="Verdana" w:cs="Open Sans"/>
          <w:sz w:val="20"/>
          <w:szCs w:val="20"/>
          <w:lang w:eastAsia="pl-PL"/>
        </w:rPr>
        <w:t>Podjęcie uchwały w sprawie</w:t>
      </w:r>
      <w:r w:rsidRPr="005C6D0A">
        <w:rPr>
          <w:rFonts w:ascii="Verdana" w:hAnsi="Verdana"/>
          <w:bCs/>
          <w:sz w:val="20"/>
          <w:szCs w:val="20"/>
        </w:rPr>
        <w:t xml:space="preserve"> dalszego istnienia Spółki</w:t>
      </w:r>
      <w:r w:rsidRPr="005C6D0A">
        <w:rPr>
          <w:rFonts w:ascii="Verdana" w:eastAsia="Times New Roman" w:hAnsi="Verdana" w:cs="Open Sans"/>
          <w:sz w:val="20"/>
          <w:szCs w:val="20"/>
          <w:lang w:eastAsia="pl-PL"/>
        </w:rPr>
        <w:t>;</w:t>
      </w:r>
    </w:p>
    <w:p w14:paraId="308BDAC5" w14:textId="77777777" w:rsidR="005C6D0A" w:rsidRPr="005C6D0A" w:rsidRDefault="005C6D0A" w:rsidP="005C6D0A">
      <w:pPr>
        <w:numPr>
          <w:ilvl w:val="0"/>
          <w:numId w:val="1"/>
        </w:numPr>
        <w:shd w:val="clear" w:color="auto" w:fill="FFFFFF"/>
        <w:tabs>
          <w:tab w:val="left" w:pos="567"/>
          <w:tab w:val="right" w:leader="hyphen" w:pos="9639"/>
        </w:tabs>
        <w:suppressAutoHyphens w:val="0"/>
        <w:spacing w:before="80" w:after="0" w:line="260" w:lineRule="atLeast"/>
        <w:ind w:left="567" w:right="300" w:hanging="567"/>
        <w:jc w:val="both"/>
        <w:rPr>
          <w:rFonts w:ascii="Verdana" w:eastAsia="Times New Roman" w:hAnsi="Verdana" w:cs="Open Sans"/>
          <w:sz w:val="20"/>
          <w:szCs w:val="20"/>
          <w:lang w:eastAsia="pl-PL"/>
        </w:rPr>
      </w:pPr>
      <w:r w:rsidRPr="005C6D0A">
        <w:rPr>
          <w:rFonts w:ascii="Verdana" w:eastAsia="Times New Roman" w:hAnsi="Verdana" w:cs="Open Sans"/>
          <w:sz w:val="20"/>
          <w:szCs w:val="20"/>
          <w:lang w:eastAsia="pl-PL"/>
        </w:rPr>
        <w:t>Wolne wnioski;</w:t>
      </w:r>
    </w:p>
    <w:p w14:paraId="00547E27" w14:textId="77777777" w:rsidR="005C6D0A" w:rsidRPr="005C6D0A" w:rsidRDefault="005C6D0A" w:rsidP="005C6D0A">
      <w:pPr>
        <w:numPr>
          <w:ilvl w:val="0"/>
          <w:numId w:val="1"/>
        </w:numPr>
        <w:shd w:val="clear" w:color="auto" w:fill="FFFFFF"/>
        <w:tabs>
          <w:tab w:val="left" w:pos="567"/>
          <w:tab w:val="right" w:leader="hyphen" w:pos="9639"/>
        </w:tabs>
        <w:suppressAutoHyphens w:val="0"/>
        <w:spacing w:before="80" w:after="0" w:line="260" w:lineRule="atLeast"/>
        <w:ind w:left="567" w:right="300" w:hanging="567"/>
        <w:jc w:val="both"/>
        <w:rPr>
          <w:rFonts w:ascii="Verdana" w:eastAsia="Times New Roman" w:hAnsi="Verdana" w:cs="Open Sans"/>
          <w:sz w:val="20"/>
          <w:szCs w:val="20"/>
          <w:lang w:eastAsia="pl-PL"/>
        </w:rPr>
      </w:pPr>
      <w:r w:rsidRPr="005C6D0A">
        <w:rPr>
          <w:rFonts w:ascii="Verdana" w:eastAsia="Times New Roman" w:hAnsi="Verdana" w:cs="Open Sans"/>
          <w:sz w:val="20"/>
          <w:szCs w:val="20"/>
          <w:lang w:eastAsia="pl-PL"/>
        </w:rPr>
        <w:t>Zamknięcie obrad Zwyczajnego Walnego Zgromadzenia.</w:t>
      </w:r>
    </w:p>
    <w:p w14:paraId="447855B1" w14:textId="77777777" w:rsidR="005C6D0A" w:rsidRPr="005C6D0A" w:rsidRDefault="005C6D0A" w:rsidP="005C6D0A">
      <w:pPr>
        <w:shd w:val="clear" w:color="auto" w:fill="FFFFFF"/>
        <w:spacing w:before="80" w:after="0" w:line="260" w:lineRule="atLeast"/>
        <w:jc w:val="both"/>
        <w:rPr>
          <w:rFonts w:ascii="Verdana" w:hAnsi="Verdana"/>
          <w:sz w:val="20"/>
          <w:szCs w:val="20"/>
        </w:rPr>
      </w:pPr>
      <w:bookmarkStart w:id="0" w:name="_Hlk156376788"/>
      <w:r w:rsidRPr="005C6D0A">
        <w:rPr>
          <w:rFonts w:ascii="Verdana" w:hAnsi="Verdana"/>
          <w:sz w:val="20"/>
          <w:szCs w:val="20"/>
        </w:rPr>
        <w:t xml:space="preserve">W związku z wykonaniem obowiązków określonych w art. 402 Kodeksu spółek handlowych, Spółka informuje, iż: </w:t>
      </w:r>
    </w:p>
    <w:p w14:paraId="577C31A1" w14:textId="77777777" w:rsidR="005C6D0A" w:rsidRPr="005C6D0A" w:rsidRDefault="005C6D0A" w:rsidP="005C6D0A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spacing w:before="80" w:after="0" w:line="260" w:lineRule="atLeast"/>
        <w:ind w:left="567" w:hanging="567"/>
        <w:jc w:val="both"/>
        <w:rPr>
          <w:rFonts w:ascii="Verdana" w:hAnsi="Verdana"/>
          <w:sz w:val="20"/>
          <w:szCs w:val="20"/>
        </w:rPr>
      </w:pPr>
      <w:r w:rsidRPr="005C6D0A">
        <w:rPr>
          <w:rFonts w:ascii="Verdana" w:hAnsi="Verdana"/>
          <w:sz w:val="20"/>
          <w:szCs w:val="20"/>
        </w:rPr>
        <w:t>Prawo do uczestnictwa w Walnym Zgromadzeniu przysługuje po spełnieniu wymogów określonych w art. 406 Kodeksu spółek handlowych;</w:t>
      </w:r>
    </w:p>
    <w:p w14:paraId="5288DCE8" w14:textId="77777777" w:rsidR="005C6D0A" w:rsidRPr="005C6D0A" w:rsidRDefault="005C6D0A" w:rsidP="005C6D0A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spacing w:before="80" w:after="0" w:line="260" w:lineRule="atLeast"/>
        <w:ind w:left="567" w:hanging="567"/>
        <w:jc w:val="both"/>
        <w:rPr>
          <w:rFonts w:ascii="Verdana" w:hAnsi="Verdana"/>
          <w:sz w:val="20"/>
          <w:szCs w:val="20"/>
        </w:rPr>
      </w:pPr>
      <w:r w:rsidRPr="005C6D0A">
        <w:rPr>
          <w:rFonts w:ascii="Verdana" w:hAnsi="Verdana"/>
          <w:sz w:val="20"/>
          <w:szCs w:val="20"/>
        </w:rPr>
        <w:t>Lista akcjonariuszy uprawnionych do uczestnictwa w Walnym Zgromadzeniu Spółki wyłożona będzie zgodnie z art. 407 Kodeksu spółek handlowych;</w:t>
      </w:r>
    </w:p>
    <w:p w14:paraId="678F8DF1" w14:textId="77777777" w:rsidR="005C6D0A" w:rsidRPr="005C6D0A" w:rsidRDefault="005C6D0A" w:rsidP="005C6D0A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spacing w:before="80" w:after="0" w:line="260" w:lineRule="atLeast"/>
        <w:ind w:left="567" w:hanging="567"/>
        <w:jc w:val="both"/>
        <w:rPr>
          <w:rFonts w:ascii="Verdana" w:hAnsi="Verdana"/>
          <w:sz w:val="20"/>
          <w:szCs w:val="20"/>
        </w:rPr>
      </w:pPr>
      <w:r w:rsidRPr="005C6D0A">
        <w:rPr>
          <w:rFonts w:ascii="Verdana" w:hAnsi="Verdana"/>
          <w:sz w:val="20"/>
          <w:szCs w:val="20"/>
        </w:rPr>
        <w:t>Akcjonariusze mogą uczestniczyć w Walnym Zgromadzeniu oraz wykonywać prawo głosu zgodnie z art. 412 Kodeksu spółek handlowych.</w:t>
      </w:r>
    </w:p>
    <w:p w14:paraId="09453257" w14:textId="77777777" w:rsidR="005C6D0A" w:rsidRPr="005C6D0A" w:rsidRDefault="005C6D0A" w:rsidP="005C6D0A">
      <w:pPr>
        <w:shd w:val="clear" w:color="auto" w:fill="FFFFFF"/>
        <w:spacing w:before="80" w:after="0" w:line="260" w:lineRule="atLeast"/>
        <w:jc w:val="both"/>
        <w:rPr>
          <w:rFonts w:ascii="Verdana" w:hAnsi="Verdana"/>
          <w:sz w:val="20"/>
          <w:szCs w:val="20"/>
        </w:rPr>
      </w:pPr>
      <w:r w:rsidRPr="005C6D0A">
        <w:rPr>
          <w:rFonts w:ascii="Verdana" w:hAnsi="Verdana"/>
          <w:sz w:val="20"/>
          <w:szCs w:val="20"/>
        </w:rPr>
        <w:t xml:space="preserve">Informacje dotyczące Zwyczajnego Walnego Zgromadzenia zostały umieszczone na oficjalnej stronie internetowej Spółki, tj. </w:t>
      </w:r>
      <w:hyperlink r:id="rId5" w:history="1">
        <w:r w:rsidRPr="005C6D0A">
          <w:rPr>
            <w:rStyle w:val="Hipercze"/>
            <w:rFonts w:ascii="Verdana" w:hAnsi="Verdana"/>
            <w:sz w:val="20"/>
            <w:szCs w:val="20"/>
          </w:rPr>
          <w:t>http://www.bumar.pl/</w:t>
        </w:r>
      </w:hyperlink>
      <w:r w:rsidRPr="005C6D0A">
        <w:rPr>
          <w:rFonts w:ascii="Verdana" w:hAnsi="Verdana"/>
          <w:sz w:val="20"/>
          <w:szCs w:val="20"/>
        </w:rPr>
        <w:t xml:space="preserve"> Zakładka Akcjonariat.</w:t>
      </w:r>
    </w:p>
    <w:p w14:paraId="67D6C771" w14:textId="75F1BAC0" w:rsidR="00034105" w:rsidRPr="005C6D0A" w:rsidRDefault="005C6D0A" w:rsidP="005C6D0A">
      <w:pPr>
        <w:shd w:val="clear" w:color="auto" w:fill="FFFFFF"/>
        <w:spacing w:before="80" w:after="0" w:line="260" w:lineRule="atLeast"/>
        <w:jc w:val="both"/>
        <w:rPr>
          <w:sz w:val="20"/>
          <w:szCs w:val="20"/>
        </w:rPr>
      </w:pPr>
      <w:r w:rsidRPr="005C6D0A">
        <w:rPr>
          <w:rFonts w:ascii="Verdana" w:hAnsi="Verdana"/>
          <w:sz w:val="20"/>
          <w:szCs w:val="20"/>
        </w:rPr>
        <w:t xml:space="preserve">Ze Spółką można kontaktować się również za pośrednictwem adresu e-mail: </w:t>
      </w:r>
      <w:hyperlink r:id="rId6" w:history="1">
        <w:r w:rsidRPr="005C6D0A">
          <w:rPr>
            <w:rStyle w:val="Hipercze"/>
            <w:rFonts w:ascii="Verdana" w:hAnsi="Verdana"/>
            <w:sz w:val="20"/>
            <w:szCs w:val="20"/>
          </w:rPr>
          <w:t>info@bumar.pl</w:t>
        </w:r>
      </w:hyperlink>
      <w:bookmarkEnd w:id="0"/>
      <w:r w:rsidRPr="005C6D0A">
        <w:rPr>
          <w:rFonts w:ascii="Verdana" w:hAnsi="Verdana"/>
          <w:sz w:val="20"/>
          <w:szCs w:val="20"/>
        </w:rPr>
        <w:t>.</w:t>
      </w:r>
    </w:p>
    <w:sectPr w:rsidR="00034105" w:rsidRPr="005C6D0A" w:rsidSect="005C6D0A">
      <w:pgSz w:w="11906" w:h="16838"/>
      <w:pgMar w:top="851" w:right="102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A5DED"/>
    <w:multiLevelType w:val="hybridMultilevel"/>
    <w:tmpl w:val="806AF808"/>
    <w:lvl w:ilvl="0" w:tplc="0415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67DE0104"/>
    <w:multiLevelType w:val="multilevel"/>
    <w:tmpl w:val="114AA3F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921"/>
      <w:numFmt w:val="decimal"/>
      <w:isLgl/>
      <w:lvlText w:val="%1.%2"/>
      <w:lvlJc w:val="left"/>
      <w:pPr>
        <w:ind w:left="1050" w:hanging="1050"/>
      </w:pPr>
    </w:lvl>
    <w:lvl w:ilvl="2">
      <w:start w:val="715"/>
      <w:numFmt w:val="decimal"/>
      <w:isLgl/>
      <w:lvlText w:val="%1.%2.%3"/>
      <w:lvlJc w:val="left"/>
      <w:pPr>
        <w:ind w:left="1050" w:hanging="1050"/>
      </w:pPr>
    </w:lvl>
    <w:lvl w:ilvl="3">
      <w:start w:val="1"/>
      <w:numFmt w:val="decimal"/>
      <w:isLgl/>
      <w:lvlText w:val="%1.%2.%3.%4"/>
      <w:lvlJc w:val="left"/>
      <w:pPr>
        <w:ind w:left="1050" w:hanging="105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num w:numId="1" w16cid:durableId="1079907419">
    <w:abstractNumId w:val="1"/>
    <w:lvlOverride w:ilvl="0">
      <w:startOverride w:val="1"/>
    </w:lvlOverride>
    <w:lvlOverride w:ilvl="1">
      <w:startOverride w:val="921"/>
    </w:lvlOverride>
    <w:lvlOverride w:ilvl="2">
      <w:startOverride w:val="7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2151486">
    <w:abstractNumId w:val="1"/>
  </w:num>
  <w:num w:numId="3" w16cid:durableId="181365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D0A"/>
    <w:rsid w:val="00034105"/>
    <w:rsid w:val="002655CA"/>
    <w:rsid w:val="005C6D0A"/>
    <w:rsid w:val="00BD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EAF6"/>
  <w15:chartTrackingRefBased/>
  <w15:docId w15:val="{C7878B94-DE6B-4F88-A856-A952E76E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D0A"/>
    <w:pPr>
      <w:suppressAutoHyphens/>
      <w:spacing w:line="252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6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6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6D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6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6D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6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6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6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6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6D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6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6D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6D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6D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6D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6D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6D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6D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6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6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6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6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6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6D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6D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6D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6D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6D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6D0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5C6D0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umar.pl" TargetMode="External"/><Relationship Id="rId5" Type="http://schemas.openxmlformats.org/officeDocument/2006/relationships/hyperlink" Target="http://www.bumar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457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Zdulska</dc:creator>
  <cp:keywords/>
  <dc:description/>
  <cp:lastModifiedBy>Barbara Zdulska</cp:lastModifiedBy>
  <cp:revision>1</cp:revision>
  <dcterms:created xsi:type="dcterms:W3CDTF">2026-06-16T11:22:00Z</dcterms:created>
  <dcterms:modified xsi:type="dcterms:W3CDTF">2026-06-16T11:27:00Z</dcterms:modified>
</cp:coreProperties>
</file>